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2995" cy="34099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200" cy="3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75pt;height:26.7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7800" cy="61976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0" cy="6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9pt;height:48.7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9465" cy="61912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4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85pt;height:48.6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6870" cy="61912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12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8pt;height:48.6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5410" cy="61912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4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2pt;height:48.6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7800" cy="108775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200" cy="108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Озеро без названия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9pt;height:85.5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Озеро без названия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9465" cy="108712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40" cy="108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10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85pt;height:85.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7505" cy="108712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40" cy="108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3,3 км Ю с. Ипкуль,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СВ оз. Куймокуль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8.05pt;height:85.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3,3 км Ю с. Ипкуль,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СВ оз. Куймокуль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5410" cy="108712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40" cy="108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Нижнетавдинский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2pt;height:85.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Нижнетавдинский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41070" cy="61912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61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4pt;height:48.6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3610" cy="108712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840" cy="108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2pt;height:85.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7372985</wp:posOffset>
                </wp:positionV>
                <wp:extent cx="6132195" cy="2023110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0" cy="202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1 - 57°20'41.4"С/ 66°06'50.0"В;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2 - 57°20'49.5"С/ 66°06'41.8"В;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3 - 57°20'49.4"С/ 66°07'00.5"В.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580.55pt;width:482.75pt;height:159.2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1 - 57°20'41.4"С/ 66°06'50.0"В;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2 - 57°20'49.5"С/ 66°06'41.8"В;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3 - 57°20'49.4"С/ 66°07'00.5"В.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3470" cy="34099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960" cy="3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Схема № 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6pt;height:26.75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Схема № 2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1046480</wp:posOffset>
            </wp:positionH>
            <wp:positionV relativeFrom="paragraph">
              <wp:posOffset>3556000</wp:posOffset>
            </wp:positionV>
            <wp:extent cx="6069330" cy="3550920"/>
            <wp:effectExtent l="0" t="0" r="0" b="0"/>
            <wp:wrapTight wrapText="bothSides">
              <wp:wrapPolygon edited="0">
                <wp:start x="-142" y="0"/>
                <wp:lineTo x="-142" y="43389"/>
                <wp:lineTo x="51151" y="43389"/>
                <wp:lineTo x="51151" y="0"/>
                <wp:lineTo x="-142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LibreOffice/5.2.3.3$Windows_X86_64 LibreOffice_project/d54a8868f08a7b39642414cf2c8ef2f228f780cf</Application>
  <Pages>1</Pages>
  <Words>72</Words>
  <Characters>462</Characters>
  <CharactersWithSpaces>512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2017-07-12T16:34:30Z</cp:lastPrinted>
  <dcterms:modified xsi:type="dcterms:W3CDTF">2017-07-12T16:34:58Z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