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21.11.2019 N 1482</w:t>
              <w:br/>
              <w:t xml:space="preserve">(ред. от 19.02.2026)</w:t>
              <w:br/>
              <w:t xml:space="preserve">"Об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21 ноября 2019 г. N 1482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УЧЕТА СЕТНЫХ ОРУДИЙ ДОБЫЧИ (ВЫЛОВА) ВОДНЫХ БИОЛОГИЧЕСКИХ</w:t>
      </w:r>
    </w:p>
    <w:p>
      <w:pPr>
        <w:pStyle w:val="2"/>
        <w:jc w:val="center"/>
      </w:pPr>
      <w:r>
        <w:rPr>
          <w:sz w:val="24"/>
        </w:rPr>
        <w:t xml:space="preserve">РЕСУРСОВ И ВЕДЕНИЯ РЕЕСТРА СЕТНЫХ ОРУДИЙ ДОБЫЧИ (ВЫЛОВА)</w:t>
      </w:r>
    </w:p>
    <w:p>
      <w:pPr>
        <w:pStyle w:val="2"/>
        <w:jc w:val="center"/>
      </w:pPr>
      <w:r>
        <w:rPr>
          <w:sz w:val="24"/>
        </w:rPr>
        <w:t xml:space="preserve">ВОДНЫХ БИОЛОГИЧЕСКИХ РЕСУРСОВ И ПРАВИЛ ОБЯЗАТЕЛЬНОЙ</w:t>
      </w:r>
    </w:p>
    <w:p>
      <w:pPr>
        <w:pStyle w:val="2"/>
        <w:jc w:val="center"/>
      </w:pPr>
      <w:r>
        <w:rPr>
          <w:sz w:val="24"/>
        </w:rPr>
        <w:t xml:space="preserve">ПОШТУЧНОЙ МАРКИРОВКИ СЕТНЫХ ОРУДИЙ ДОБЫЧИ (ВЫЛОВА)</w:t>
      </w:r>
    </w:p>
    <w:p>
      <w:pPr>
        <w:pStyle w:val="2"/>
        <w:jc w:val="center"/>
      </w:pPr>
      <w:r>
        <w:rPr>
          <w:sz w:val="24"/>
        </w:rPr>
        <w:t xml:space="preserve">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15.04.2020 </w:t>
            </w:r>
            <w:r>
              <w:rPr>
                <w:sz w:val="24"/>
                <w:color w:val="392c69"/>
              </w:rPr>
              <w:t xml:space="preserve">N 513</w:t>
            </w:r>
            <w:r>
              <w:rPr>
                <w:sz w:val="24"/>
                <w:color w:val="392c69"/>
              </w:rPr>
              <w:t xml:space="preserve">,</w:t>
            </w:r>
          </w:p>
          <w:p>
            <w:pPr>
              <w:pStyle w:val="0"/>
              <w:jc w:val="center"/>
            </w:pPr>
            <w:r>
              <w:rPr>
                <w:sz w:val="24"/>
                <w:color w:val="392c69"/>
              </w:rPr>
              <w:t xml:space="preserve">от 19.02.2026 </w:t>
            </w:r>
            <w:r>
              <w:rPr>
                <w:sz w:val="24"/>
                <w:color w:val="392c69"/>
              </w:rPr>
              <w:t xml:space="preserve">N 160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частями 3</w:t>
      </w:r>
      <w:r>
        <w:rPr>
          <w:sz w:val="24"/>
        </w:rPr>
        <w:t xml:space="preserve"> и </w:t>
      </w:r>
      <w:r>
        <w:rPr>
          <w:sz w:val="24"/>
        </w:rPr>
        <w:t xml:space="preserve">4 статьи 9</w:t>
      </w:r>
      <w:r>
        <w:rPr>
          <w:sz w:val="24"/>
        </w:rPr>
        <w:t xml:space="preserve"> Федерального закона "О любительском рыболовстве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6" w:tooltip="ПРАВИЛА">
        <w:r>
          <w:rPr>
            <w:sz w:val="24"/>
            <w:color w:val="0000ff"/>
          </w:rPr>
          <w:t xml:space="preserve">Правила</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w:t>
      </w:r>
    </w:p>
    <w:p>
      <w:pPr>
        <w:pStyle w:val="0"/>
        <w:spacing w:before="240" w:line-rule="auto"/>
        <w:ind w:firstLine="540"/>
        <w:jc w:val="both"/>
      </w:pPr>
      <w:hyperlink w:history="0" w:anchor="P139" w:tooltip="ПРАВИЛА">
        <w:r>
          <w:rPr>
            <w:sz w:val="24"/>
            <w:color w:val="0000ff"/>
          </w:rPr>
          <w:t xml:space="preserve">Правила</w:t>
        </w:r>
      </w:hyperlink>
      <w:r>
        <w:rPr>
          <w:sz w:val="24"/>
        </w:rPr>
        <w:t xml:space="preserve"> обязательной поштучной маркировки сетных орудий добычи (вылова) водных биологических ресурсов.</w:t>
      </w:r>
    </w:p>
    <w:p>
      <w:pPr>
        <w:pStyle w:val="0"/>
        <w:spacing w:before="240" w:line-rule="auto"/>
        <w:ind w:firstLine="540"/>
        <w:jc w:val="both"/>
      </w:pPr>
      <w:r>
        <w:rPr>
          <w:sz w:val="24"/>
        </w:rPr>
        <w:t xml:space="preserve">2.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территориальных органов Федерального агентства по рыболовству, а также бюджетных ассигнований, предусмотренных Агентству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Настоящее постановление вступает в силу с 1 января 2020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21 ноября 2019 г. N 1482</w:t>
      </w:r>
    </w:p>
    <w:p>
      <w:pPr>
        <w:pStyle w:val="0"/>
        <w:jc w:val="both"/>
      </w:pPr>
      <w:r>
        <w:rPr>
          <w:sz w:val="24"/>
        </w:rPr>
      </w:r>
    </w:p>
    <w:bookmarkStart w:id="36" w:name="P36"/>
    <w:bookmarkEnd w:id="36"/>
    <w:p>
      <w:pPr>
        <w:pStyle w:val="2"/>
        <w:jc w:val="center"/>
      </w:pPr>
      <w:r>
        <w:rPr>
          <w:sz w:val="24"/>
        </w:rPr>
        <w:t xml:space="preserve">ПРАВИЛА</w:t>
      </w:r>
    </w:p>
    <w:p>
      <w:pPr>
        <w:pStyle w:val="2"/>
        <w:jc w:val="center"/>
      </w:pPr>
      <w:r>
        <w:rPr>
          <w:sz w:val="24"/>
        </w:rPr>
        <w:t xml:space="preserve">УЧЕТА СЕТНЫХ ОРУДИЙ ДОБЫЧИ (ВЫЛОВА) ВОДНЫХ БИОЛОГИЧЕСКИХ</w:t>
      </w:r>
    </w:p>
    <w:p>
      <w:pPr>
        <w:pStyle w:val="2"/>
        <w:jc w:val="center"/>
      </w:pPr>
      <w:r>
        <w:rPr>
          <w:sz w:val="24"/>
        </w:rPr>
        <w:t xml:space="preserve">РЕСУРСОВ И ВЕДЕНИЯ РЕЕСТРА СЕТНЫХ ОРУДИЙ ДОБЫЧИ (ВЫЛОВА)</w:t>
      </w:r>
    </w:p>
    <w:p>
      <w:pPr>
        <w:pStyle w:val="2"/>
        <w:jc w:val="center"/>
      </w:pPr>
      <w:r>
        <w:rPr>
          <w:sz w:val="24"/>
        </w:rPr>
        <w:t xml:space="preserve">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15.04.2020 </w:t>
            </w:r>
            <w:r>
              <w:rPr>
                <w:sz w:val="24"/>
                <w:color w:val="392c69"/>
              </w:rPr>
              <w:t xml:space="preserve">N 513</w:t>
            </w:r>
            <w:r>
              <w:rPr>
                <w:sz w:val="24"/>
                <w:color w:val="392c69"/>
              </w:rPr>
              <w:t xml:space="preserve">,</w:t>
            </w:r>
          </w:p>
          <w:p>
            <w:pPr>
              <w:pStyle w:val="0"/>
              <w:jc w:val="center"/>
            </w:pPr>
            <w:r>
              <w:rPr>
                <w:sz w:val="24"/>
                <w:color w:val="392c69"/>
              </w:rPr>
              <w:t xml:space="preserve">от 19.02.2026 </w:t>
            </w:r>
            <w:r>
              <w:rPr>
                <w:sz w:val="24"/>
                <w:color w:val="392c69"/>
              </w:rPr>
              <w:t xml:space="preserve">N 160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учета сетных орудий добычи (вылова) водных биологических ресурсов и ведения реестра сетных орудий добычи (вылова) водных биологических ресурсов (далее соответственно - сетные орудия, реестр).</w:t>
      </w:r>
    </w:p>
    <w:p>
      <w:pPr>
        <w:pStyle w:val="0"/>
        <w:spacing w:before="240" w:line-rule="auto"/>
        <w:ind w:firstLine="540"/>
        <w:jc w:val="both"/>
      </w:pPr>
      <w:r>
        <w:rPr>
          <w:sz w:val="24"/>
        </w:rPr>
        <w:t xml:space="preserve">2. Учету подлежат все сетные орудия, используемые для любительского рыболовства в районах Севера, Сибири и Дальнего Востока Российской Федерации в границах субъектов Российской Федерации, указанных в </w:t>
      </w:r>
      <w:r>
        <w:rPr>
          <w:sz w:val="24"/>
        </w:rPr>
        <w:t xml:space="preserve">пункте 2</w:t>
      </w:r>
      <w:r>
        <w:rPr>
          <w:sz w:val="24"/>
        </w:rPr>
        <w:t xml:space="preserve"> Положения об особенностях оборота и применения жаберных сетей в районах Севера, Сибири и Дальнего Востока Российской Федерации, утвержденного постановлением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 а также в прилегающих к границам указанных субъектов Российской Федерации внутренних морских водах Российской Федерации и территориальном море Российской Федерации.</w:t>
      </w:r>
    </w:p>
    <w:p>
      <w:pPr>
        <w:pStyle w:val="0"/>
        <w:jc w:val="both"/>
      </w:pPr>
      <w:r>
        <w:rPr>
          <w:sz w:val="24"/>
        </w:rPr>
        <w:t xml:space="preserve">(п. 2 в ред. </w:t>
      </w:r>
      <w:r>
        <w:rPr>
          <w:sz w:val="24"/>
        </w:rPr>
        <w:t xml:space="preserve">Постановления</w:t>
      </w:r>
      <w:r>
        <w:rPr>
          <w:sz w:val="24"/>
        </w:rPr>
        <w:t xml:space="preserve"> Правительства РФ от 15.04.2020 N 513)</w:t>
      </w:r>
    </w:p>
    <w:p>
      <w:pPr>
        <w:pStyle w:val="0"/>
        <w:spacing w:before="240" w:line-rule="auto"/>
        <w:ind w:firstLine="540"/>
        <w:jc w:val="both"/>
      </w:pPr>
      <w:r>
        <w:rPr>
          <w:sz w:val="24"/>
        </w:rPr>
        <w:t xml:space="preserve">3. Учет сетных орудий осуществляют территориальные органы Федерального агентства по рыболовству (далее - территориальный орган) путем внесения сведений о сетных орудиях в реестр.</w:t>
      </w:r>
    </w:p>
    <w:p>
      <w:pPr>
        <w:pStyle w:val="0"/>
        <w:spacing w:before="240" w:line-rule="auto"/>
        <w:ind w:firstLine="540"/>
        <w:jc w:val="both"/>
      </w:pPr>
      <w:r>
        <w:rPr>
          <w:sz w:val="24"/>
        </w:rPr>
        <w:t xml:space="preserve">4. Для осуществления учета сетных орудий граждане (физические лица) Российской Федерации, обладающие гражданской дееспособностью в соответствии с гражданским законодательством, индивидуальные предприниматели и юридические лица, которым предоставлены в пользование рыболовные участки для организации любительского рыболовства, владеющие сетными орудиями на правах собственности (далее - владельцы сетного орудия), представляют в территориальный орган, к зоне ответственности которого относятся водные объекты, на акватории которых владелец сетного орудия планирует осуществлять любительское рыболовство с применением сетных орудий, заявление о внесении сведений о сетных орудиях в реестр, составленное в письменной форме на бумажном носителе или в форме электронного документа (далее - заявление о внесении сведений в реестр).</w:t>
      </w:r>
    </w:p>
    <w:p>
      <w:pPr>
        <w:pStyle w:val="0"/>
        <w:spacing w:before="240" w:line-rule="auto"/>
        <w:ind w:firstLine="540"/>
        <w:jc w:val="both"/>
      </w:pPr>
      <w:r>
        <w:rPr>
          <w:sz w:val="24"/>
        </w:rPr>
        <w:t xml:space="preserve">Заявление о внесении сведений в реестр подается в территориальный орган или в многофункциональный центр предоставления государственных и муниципальных услуг лично владельцем сетного орудия или почтовым отправлением с описью вложения или в электронной форме с использованием информационно-телекоммуникационных технологий, в том числе посредством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(функций) (далее соответственно - единый портал, региональные порталы).</w:t>
      </w:r>
    </w:p>
    <w:bookmarkStart w:id="50" w:name="P50"/>
    <w:bookmarkEnd w:id="50"/>
    <w:p>
      <w:pPr>
        <w:pStyle w:val="0"/>
        <w:spacing w:before="240" w:line-rule="auto"/>
        <w:ind w:firstLine="540"/>
        <w:jc w:val="both"/>
      </w:pPr>
      <w:r>
        <w:rPr>
          <w:sz w:val="24"/>
        </w:rPr>
        <w:t xml:space="preserve">4(1). Заявление о внесении сведений в реестр, подаваемое в форме электронного документа посредством единого портала, подписывается:</w:t>
      </w:r>
    </w:p>
    <w:p>
      <w:pPr>
        <w:pStyle w:val="0"/>
        <w:spacing w:before="240" w:line-rule="auto"/>
        <w:ind w:firstLine="540"/>
        <w:jc w:val="both"/>
      </w:pPr>
      <w:r>
        <w:rPr>
          <w:sz w:val="24"/>
        </w:rPr>
        <w:t xml:space="preserve">а) усиленной квалифицированной электронной подписью в соответствии с требованиями Федерального </w:t>
      </w:r>
      <w:r>
        <w:rPr>
          <w:sz w:val="24"/>
        </w:rPr>
        <w:t xml:space="preserve">закона</w:t>
      </w:r>
      <w:r>
        <w:rPr>
          <w:sz w:val="24"/>
        </w:rPr>
        <w:t xml:space="preserve"> "Об электронной подписи" - в случае подачи юридическим лицом или индивидуальным предпринимателем;</w:t>
      </w:r>
    </w:p>
    <w:p>
      <w:pPr>
        <w:pStyle w:val="0"/>
        <w:spacing w:before="240" w:line-rule="auto"/>
        <w:ind w:firstLine="540"/>
        <w:jc w:val="both"/>
      </w:pPr>
      <w:r>
        <w:rPr>
          <w:sz w:val="24"/>
        </w:rPr>
        <w:t xml:space="preserve">б)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предусмотренном </w:t>
      </w:r>
      <w:r>
        <w:rPr>
          <w:sz w:val="24"/>
        </w:rPr>
        <w:t xml:space="preserve">Правилами</w:t>
      </w:r>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в случае подачи представителем, действующим от имени юридического лица или индивидуального предпринимателя. Полномочия представителя действовать от имени юридического лица или индивидуального предпринимателя подтверждаются через платформу полномочий единого портала;</w:t>
      </w:r>
    </w:p>
    <w:p>
      <w:pPr>
        <w:pStyle w:val="0"/>
        <w:spacing w:before="240" w:line-rule="auto"/>
        <w:ind w:firstLine="540"/>
        <w:jc w:val="both"/>
      </w:pPr>
      <w:r>
        <w:rPr>
          <w:sz w:val="24"/>
        </w:rPr>
        <w:t xml:space="preserve">в) простой электронной подписью, ключ которой получен в соответствии с </w:t>
      </w:r>
      <w:r>
        <w:rPr>
          <w:sz w:val="24"/>
        </w:rPr>
        <w:t xml:space="preserve">Правилами</w:t>
      </w:r>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 в случае подачи физическим лицом.</w:t>
      </w:r>
    </w:p>
    <w:p>
      <w:pPr>
        <w:pStyle w:val="0"/>
        <w:jc w:val="both"/>
      </w:pPr>
      <w:r>
        <w:rPr>
          <w:sz w:val="24"/>
        </w:rPr>
        <w:t xml:space="preserve">(п. 4(1) введен </w:t>
      </w:r>
      <w:r>
        <w:rPr>
          <w:sz w:val="24"/>
        </w:rPr>
        <w:t xml:space="preserve">Постановлением</w:t>
      </w:r>
      <w:r>
        <w:rPr>
          <w:sz w:val="24"/>
        </w:rPr>
        <w:t xml:space="preserve"> Правительства РФ от 19.02.2026 N 160)</w:t>
      </w:r>
    </w:p>
    <w:bookmarkStart w:id="55" w:name="P55"/>
    <w:bookmarkEnd w:id="55"/>
    <w:p>
      <w:pPr>
        <w:pStyle w:val="0"/>
        <w:spacing w:before="240" w:line-rule="auto"/>
        <w:ind w:firstLine="540"/>
        <w:jc w:val="both"/>
      </w:pPr>
      <w:r>
        <w:rPr>
          <w:sz w:val="24"/>
        </w:rPr>
        <w:t xml:space="preserve">5. В заявлении о внесении сведений в реестр указываются:</w:t>
      </w:r>
    </w:p>
    <w:p>
      <w:pPr>
        <w:pStyle w:val="0"/>
        <w:spacing w:before="240" w:line-rule="auto"/>
        <w:ind w:firstLine="540"/>
        <w:jc w:val="both"/>
      </w:pPr>
      <w:r>
        <w:rPr>
          <w:sz w:val="24"/>
        </w:rPr>
        <w:t xml:space="preserve">а) наименование территориального органа, в который подается заявление о внесении сведений в реестр;</w:t>
      </w:r>
    </w:p>
    <w:p>
      <w:pPr>
        <w:pStyle w:val="0"/>
        <w:spacing w:before="240" w:line-rule="auto"/>
        <w:ind w:firstLine="540"/>
        <w:jc w:val="both"/>
      </w:pPr>
      <w:r>
        <w:rPr>
          <w:sz w:val="24"/>
        </w:rPr>
        <w:t xml:space="preserve">б) фамилия, имя, отчество (при наличии)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в) дата и место рождения владельца сетного орудия (для физических лиц);</w:t>
      </w:r>
    </w:p>
    <w:p>
      <w:pPr>
        <w:pStyle w:val="0"/>
        <w:spacing w:before="240" w:line-rule="auto"/>
        <w:ind w:firstLine="540"/>
        <w:jc w:val="both"/>
      </w:pPr>
      <w:r>
        <w:rPr>
          <w:sz w:val="24"/>
        </w:rPr>
        <w:t xml:space="preserve">г) адрес места жительства (места пребывания) владельца сетного орудия (для физических лиц);</w:t>
      </w:r>
    </w:p>
    <w:p>
      <w:pPr>
        <w:pStyle w:val="0"/>
        <w:spacing w:before="240" w:line-rule="auto"/>
        <w:ind w:firstLine="540"/>
        <w:jc w:val="both"/>
      </w:pPr>
      <w:r>
        <w:rPr>
          <w:sz w:val="24"/>
        </w:rPr>
        <w:t xml:space="preserve">д) адрес места нахождения юридического лица или индивидуального предпринимателя;</w:t>
      </w:r>
    </w:p>
    <w:p>
      <w:pPr>
        <w:pStyle w:val="0"/>
        <w:spacing w:before="240" w:line-rule="auto"/>
        <w:ind w:firstLine="540"/>
        <w:jc w:val="both"/>
      </w:pPr>
      <w:r>
        <w:rPr>
          <w:sz w:val="24"/>
        </w:rPr>
        <w:t xml:space="preserve">е) индивидуальный номер налогоплательщика владельца сетного орудия (для физических лиц, при наличии);</w:t>
      </w:r>
    </w:p>
    <w:p>
      <w:pPr>
        <w:pStyle w:val="0"/>
        <w:spacing w:before="240" w:line-rule="auto"/>
        <w:ind w:firstLine="540"/>
        <w:jc w:val="both"/>
      </w:pPr>
      <w:r>
        <w:rPr>
          <w:sz w:val="24"/>
        </w:rPr>
        <w:t xml:space="preserve">ж) обязательный государственный регистрационный номер (для юридических лиц);</w:t>
      </w:r>
    </w:p>
    <w:p>
      <w:pPr>
        <w:pStyle w:val="0"/>
        <w:spacing w:before="240" w:line-rule="auto"/>
        <w:ind w:firstLine="540"/>
        <w:jc w:val="both"/>
      </w:pPr>
      <w:r>
        <w:rPr>
          <w:sz w:val="24"/>
        </w:rPr>
        <w:t xml:space="preserve">з) основной государственный регистрационный номер записи о государственной регистрации индивидуального предпринимателя (для индивидуальных предпринимателей);</w:t>
      </w:r>
    </w:p>
    <w:p>
      <w:pPr>
        <w:pStyle w:val="0"/>
        <w:spacing w:before="240" w:line-rule="auto"/>
        <w:ind w:firstLine="540"/>
        <w:jc w:val="both"/>
      </w:pPr>
      <w:r>
        <w:rPr>
          <w:sz w:val="24"/>
        </w:rPr>
        <w:t xml:space="preserve">и) номер контактного телефона и (или) адрес электронной почты (если имеются) владельца сетного орудия;</w:t>
      </w:r>
    </w:p>
    <w:p>
      <w:pPr>
        <w:pStyle w:val="0"/>
        <w:spacing w:before="240" w:line-rule="auto"/>
        <w:ind w:firstLine="540"/>
        <w:jc w:val="both"/>
      </w:pPr>
      <w:r>
        <w:rPr>
          <w:sz w:val="24"/>
        </w:rPr>
        <w:t xml:space="preserve">к) данные документа, удостоверяющего личность владельца сетного орудия (для физических лиц);</w:t>
      </w:r>
    </w:p>
    <w:p>
      <w:pPr>
        <w:pStyle w:val="0"/>
        <w:spacing w:before="240" w:line-rule="auto"/>
        <w:ind w:firstLine="540"/>
        <w:jc w:val="both"/>
      </w:pPr>
      <w:r>
        <w:rPr>
          <w:sz w:val="24"/>
        </w:rPr>
        <w:t xml:space="preserve">л) наименование сетного орудия, сведения о котором подлежат внесению в реестр, с указанием:</w:t>
      </w:r>
    </w:p>
    <w:p>
      <w:pPr>
        <w:pStyle w:val="0"/>
        <w:spacing w:before="240" w:line-rule="auto"/>
        <w:ind w:firstLine="540"/>
        <w:jc w:val="both"/>
      </w:pPr>
      <w:r>
        <w:rPr>
          <w:sz w:val="24"/>
        </w:rPr>
        <w:t xml:space="preserve">для жаберных сетей - длины, высоты, размера (шага) ячеи;</w:t>
      </w:r>
    </w:p>
    <w:p>
      <w:pPr>
        <w:pStyle w:val="0"/>
        <w:spacing w:before="240" w:line-rule="auto"/>
        <w:ind w:firstLine="540"/>
        <w:jc w:val="both"/>
      </w:pPr>
      <w:r>
        <w:rPr>
          <w:sz w:val="24"/>
        </w:rPr>
        <w:t xml:space="preserve">для неводов всех типов, бредней - длины, высоты, размера (шага) ячеи;</w:t>
      </w:r>
    </w:p>
    <w:p>
      <w:pPr>
        <w:pStyle w:val="0"/>
        <w:spacing w:before="240" w:line-rule="auto"/>
        <w:ind w:firstLine="540"/>
        <w:jc w:val="both"/>
      </w:pPr>
      <w:r>
        <w:rPr>
          <w:sz w:val="24"/>
        </w:rPr>
        <w:t xml:space="preserve">для сетных ловушек любых типов, прочих сетных орудий лова - сведений об основных конструктивных характеристиках в снаряженном (расправленном) виде (длина, высота, ширина, размер (шаг) ячеи), в том числе характеристики, предусмотренные для сетных ловушек правилами рыболовства;</w:t>
      </w:r>
    </w:p>
    <w:bookmarkStart w:id="70" w:name="P70"/>
    <w:bookmarkEnd w:id="70"/>
    <w:p>
      <w:pPr>
        <w:pStyle w:val="0"/>
        <w:spacing w:before="240" w:line-rule="auto"/>
        <w:ind w:firstLine="540"/>
        <w:jc w:val="both"/>
      </w:pPr>
      <w:r>
        <w:rPr>
          <w:sz w:val="24"/>
        </w:rPr>
        <w:t xml:space="preserve">м) водные объекты, на которых владелец сетного орудия планирует осуществлять любительское рыболовство с применением сетных орудий (с указанием субъекта Российской Федерации, муниципальных образований (районов) субъектов Российской Федерации и местоположения относительно населенного пункта, на территориях которых расположены или к территориям которых примыкают такие водные объекты);</w:t>
      </w:r>
    </w:p>
    <w:p>
      <w:pPr>
        <w:pStyle w:val="0"/>
        <w:spacing w:before="240" w:line-rule="auto"/>
        <w:ind w:firstLine="540"/>
        <w:jc w:val="both"/>
      </w:pPr>
      <w:r>
        <w:rPr>
          <w:sz w:val="24"/>
        </w:rPr>
        <w:t xml:space="preserve">н) реквизиты действующего договора пользования рыболовным участком, предоставленным для организации любительского рыболовства (номер, дата заключения договора) (для юридических лиц и индивидуальных предпринимателей);</w:t>
      </w:r>
    </w:p>
    <w:p>
      <w:pPr>
        <w:pStyle w:val="0"/>
        <w:spacing w:before="240" w:line-rule="auto"/>
        <w:ind w:firstLine="540"/>
        <w:jc w:val="both"/>
      </w:pPr>
      <w:r>
        <w:rPr>
          <w:sz w:val="24"/>
        </w:rPr>
        <w:t xml:space="preserve">о) сведения о том, что владелец сетного орудия ознакомлен с требованиями правил рыболовства для рыбохозяйственного бассейна, на территории которого планируется осуществлять любительское рыболовство с применением сетных орудий.</w:t>
      </w:r>
    </w:p>
    <w:p>
      <w:pPr>
        <w:pStyle w:val="0"/>
        <w:spacing w:before="240" w:line-rule="auto"/>
        <w:ind w:firstLine="540"/>
        <w:jc w:val="both"/>
      </w:pPr>
      <w:r>
        <w:rPr>
          <w:sz w:val="24"/>
        </w:rPr>
        <w:t xml:space="preserve">6. При поступлении заявления о внесении сведений в реестр в территориальный орган, к зоне ответственности которого не относятся водные объекты, на которых планируется применение сетных орудий при осуществлении любительского рыболовства, указанные в заявлении о внесении сведений в реестр, заявление о внесении сведений в реестр подлежит направлению на рассмотрение в территориальный орган в соответствии с компетенцией, о чем в течение 2 рабочих дней со дня регистрации заявления о внесении сведений в реестр сообщается владельцу сетного орудия, представившему заявление о внесении сведений в реестр.</w:t>
      </w:r>
    </w:p>
    <w:p>
      <w:pPr>
        <w:pStyle w:val="0"/>
        <w:jc w:val="both"/>
      </w:pPr>
      <w:r>
        <w:rPr>
          <w:sz w:val="24"/>
        </w:rPr>
        <w:t xml:space="preserve">(в ред. </w:t>
      </w:r>
      <w:r>
        <w:rPr>
          <w:sz w:val="24"/>
        </w:rPr>
        <w:t xml:space="preserve">Постановления</w:t>
      </w:r>
      <w:r>
        <w:rPr>
          <w:sz w:val="24"/>
        </w:rPr>
        <w:t xml:space="preserve"> Правительства РФ от 19.02.2026 N 160)</w:t>
      </w:r>
    </w:p>
    <w:bookmarkStart w:id="75" w:name="P75"/>
    <w:bookmarkEnd w:id="75"/>
    <w:p>
      <w:pPr>
        <w:pStyle w:val="0"/>
        <w:spacing w:before="240" w:line-rule="auto"/>
        <w:ind w:firstLine="540"/>
        <w:jc w:val="both"/>
      </w:pPr>
      <w:r>
        <w:rPr>
          <w:sz w:val="24"/>
        </w:rPr>
        <w:t xml:space="preserve">7. Территориальный орган в течение 2 рабочих дней со дня регистрации заявления о внесении сведений в реестр рассматривает его, принимает решение о внесении в реестр сведений о сетных орудиях или об отказе во внесении в реестр сведений о сетных орудиях.</w:t>
      </w:r>
    </w:p>
    <w:p>
      <w:pPr>
        <w:pStyle w:val="0"/>
        <w:jc w:val="both"/>
      </w:pPr>
      <w:r>
        <w:rPr>
          <w:sz w:val="24"/>
        </w:rPr>
        <w:t xml:space="preserve">(в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В случае указания владельцем сетного орудия в заявлении о внесении сведений в реестр информации о внесении сведений в реестр о сетных орудиях для осуществления любительского рыболовства в водных объектах, относящихся к зоне ответственности 2 территориальных органов, решение о внесении в реестр сведений о сетных орудиях или решение об отказе во внесении в реестр сведений о сетных орудиях принимает территориальный орган, в адрес которого направлено заявление о внесении сведений в реестр.</w:t>
      </w:r>
    </w:p>
    <w:p>
      <w:pPr>
        <w:pStyle w:val="0"/>
        <w:jc w:val="both"/>
      </w:pPr>
      <w:r>
        <w:rPr>
          <w:sz w:val="24"/>
        </w:rPr>
        <w:t xml:space="preserve">(в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8. Датой подачи заявления о внесении сведений в реестр в форме электронного документа с использованием единого портала и (или) региональных порталов считается день регистрации заявления о внесении сведений в реестр в территориальном органе, в адрес которого направлено заявление о внесении сведений в реестр.</w:t>
      </w:r>
    </w:p>
    <w:bookmarkStart w:id="80" w:name="P80"/>
    <w:bookmarkEnd w:id="80"/>
    <w:p>
      <w:pPr>
        <w:pStyle w:val="0"/>
        <w:spacing w:before="240" w:line-rule="auto"/>
        <w:ind w:firstLine="540"/>
        <w:jc w:val="both"/>
      </w:pPr>
      <w:r>
        <w:rPr>
          <w:sz w:val="24"/>
        </w:rPr>
        <w:t xml:space="preserve">9. Территориальный орган принимает решение об отказе во внесении в реестр сведений о сетных орудиях в случае:</w:t>
      </w:r>
    </w:p>
    <w:p>
      <w:pPr>
        <w:pStyle w:val="0"/>
        <w:spacing w:before="240" w:line-rule="auto"/>
        <w:ind w:firstLine="540"/>
        <w:jc w:val="both"/>
      </w:pPr>
      <w:r>
        <w:rPr>
          <w:sz w:val="24"/>
        </w:rPr>
        <w:t xml:space="preserve">а) несоответствия заявленных сетных орудий сетным орудиям, разрешенным правилами рыболовства для водных объектов, указанных владельцем сетного орудия в соответствии с </w:t>
      </w:r>
      <w:hyperlink w:history="0" w:anchor="P70" w:tooltip="м) водные объекты, на которых владелец сетного орудия планирует осуществлять любительское рыболовство с применением сетных орудий (с указанием субъекта Российской Федерации, муниципальных образований (районов) субъектов Российской Федерации и местоположения относительно населенного пункта, на территориях которых расположены или к территориям которых примыкают такие водные объекты);">
        <w:r>
          <w:rPr>
            <w:sz w:val="24"/>
            <w:color w:val="0000ff"/>
          </w:rPr>
          <w:t xml:space="preserve">подпунктом "м" пункта 5</w:t>
        </w:r>
      </w:hyperlink>
      <w:r>
        <w:rPr>
          <w:sz w:val="24"/>
        </w:rPr>
        <w:t xml:space="preserve"> настоящих Правил;</w:t>
      </w:r>
    </w:p>
    <w:p>
      <w:pPr>
        <w:pStyle w:val="0"/>
        <w:spacing w:before="240" w:line-rule="auto"/>
        <w:ind w:firstLine="540"/>
        <w:jc w:val="both"/>
      </w:pPr>
      <w:r>
        <w:rPr>
          <w:sz w:val="24"/>
        </w:rPr>
        <w:t xml:space="preserve">б) если на водном объекте, указанном в заявлении о внесении сведений в реестр, в соответствии с Федеральным </w:t>
      </w:r>
      <w:r>
        <w:rPr>
          <w:sz w:val="24"/>
        </w:rPr>
        <w:t xml:space="preserve">законом</w:t>
      </w:r>
      <w:r>
        <w:rPr>
          <w:sz w:val="24"/>
        </w:rPr>
        <w:t xml:space="preserve"> "О любительском рыболовстве и о внесении изменений в отдельные законодательные акты Российской Федерации" запрещено использование заявленных сетных орудий;</w:t>
      </w:r>
    </w:p>
    <w:p>
      <w:pPr>
        <w:pStyle w:val="0"/>
        <w:spacing w:before="240" w:line-rule="auto"/>
        <w:ind w:firstLine="540"/>
        <w:jc w:val="both"/>
      </w:pPr>
      <w:r>
        <w:rPr>
          <w:sz w:val="24"/>
        </w:rPr>
        <w:t xml:space="preserve">в) если водный объект, указанный в заявлении о внесении сведений в реестр, предоставлен в пользование для осуществления аквакультуры (рыбоводства) и (или) промышленного рыболовства и (или)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40" w:line-rule="auto"/>
        <w:ind w:firstLine="540"/>
        <w:jc w:val="both"/>
      </w:pPr>
      <w:r>
        <w:rPr>
          <w:sz w:val="24"/>
        </w:rPr>
        <w:t xml:space="preserve">г) наличия в заявлении о внесении сведений в реестр недостоверной, искаженной или неполной информации.</w:t>
      </w:r>
    </w:p>
    <w:p>
      <w:pPr>
        <w:pStyle w:val="0"/>
        <w:spacing w:before="240" w:line-rule="auto"/>
        <w:ind w:firstLine="540"/>
        <w:jc w:val="both"/>
      </w:pPr>
      <w:r>
        <w:rPr>
          <w:sz w:val="24"/>
        </w:rPr>
        <w:t xml:space="preserve">10. Решение об отказе во внесении в реестр сведений о сетных орудиях должно быть мотивированным с указанием причин, послуживших основанием для такого отказа.</w:t>
      </w:r>
    </w:p>
    <w:p>
      <w:pPr>
        <w:pStyle w:val="0"/>
        <w:spacing w:before="240" w:line-rule="auto"/>
        <w:ind w:firstLine="540"/>
        <w:jc w:val="both"/>
      </w:pPr>
      <w:r>
        <w:rPr>
          <w:sz w:val="24"/>
        </w:rPr>
        <w:t xml:space="preserve">Территориальный орган в течение срока, предусмотренного </w:t>
      </w:r>
      <w:hyperlink w:history="0" w:anchor="P75" w:tooltip="7. Территориальный орган в течение 2 рабочих дней со дня регистрации заявления о внесении сведений в реестр рассматривает его, принимает решение о внесении в реестр сведений о сетных орудиях или об отказе во внесении в реестр сведений о сетных орудиях.">
        <w:r>
          <w:rPr>
            <w:sz w:val="24"/>
            <w:color w:val="0000ff"/>
          </w:rPr>
          <w:t xml:space="preserve">абзацем первым пункта 7</w:t>
        </w:r>
      </w:hyperlink>
      <w:r>
        <w:rPr>
          <w:sz w:val="24"/>
        </w:rPr>
        <w:t xml:space="preserve"> настоящих Правил, направляет уведомление об отказе во внесении в реестр сведений о сетных орудиях в письменной форме владельцу сетного орудия по адресу места жительства (места пребывания) или места нахождения, указанному в заявлении о внесении сведений в реестр, либо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 При подаче заявления о внесении сведений в реестр в форме электронного документа посредством единого портала указанное уведомление направляется в автоматическом режиме.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19.02.2026 N 160)</w:t>
      </w:r>
    </w:p>
    <w:p>
      <w:pPr>
        <w:pStyle w:val="0"/>
        <w:spacing w:before="240" w:line-rule="auto"/>
        <w:ind w:firstLine="540"/>
        <w:jc w:val="both"/>
      </w:pPr>
      <w:r>
        <w:rPr>
          <w:sz w:val="24"/>
        </w:rPr>
        <w:t xml:space="preserve">11. В случае отсутствия оснований для отказа во внесении в реестр сведений о сетных орудиях, указанных в </w:t>
      </w:r>
      <w:hyperlink w:history="0" w:anchor="P80" w:tooltip="9. Территориальный орган принимает решение об отказе во внесении в реестр сведений о сетных орудиях в случае:">
        <w:r>
          <w:rPr>
            <w:sz w:val="24"/>
            <w:color w:val="0000ff"/>
          </w:rPr>
          <w:t xml:space="preserve">пункте 9</w:t>
        </w:r>
      </w:hyperlink>
      <w:r>
        <w:rPr>
          <w:sz w:val="24"/>
        </w:rPr>
        <w:t xml:space="preserve"> настоящих Правил, территориальный орган в течение одного рабочего дня со дня принятия решения о внесении в реестр сведений о сетных орудиях вносит указанные сведения в реестр.</w:t>
      </w:r>
    </w:p>
    <w:p>
      <w:pPr>
        <w:pStyle w:val="0"/>
        <w:jc w:val="both"/>
      </w:pPr>
      <w:r>
        <w:rPr>
          <w:sz w:val="24"/>
        </w:rPr>
        <w:t xml:space="preserve">(в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Каждому сетному орудию, данные о котором внесены в реестр, присваивается учетный номер, содержащий серию и номер учета.</w:t>
      </w:r>
    </w:p>
    <w:p>
      <w:pPr>
        <w:pStyle w:val="0"/>
        <w:spacing w:before="240" w:line-rule="auto"/>
        <w:ind w:firstLine="540"/>
        <w:jc w:val="both"/>
      </w:pPr>
      <w:r>
        <w:rPr>
          <w:sz w:val="24"/>
        </w:rPr>
        <w:t xml:space="preserve">12. В день внесения в реестр сведений о сетных орудиях территориальный орган направляет уведомление о внесенной в реестр записи о сетных орудиях с указанием учетного номера владельцу сетного орудия в письменной форме по адресу места жительства (места пребывания) или места нахождения, указанному в заявлении о внесении сведений в реестр, либо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 При подаче заявления о внесении сведений в реестр в форме электронного документа посредством единого портала указанное уведомление направляется в автоматическом режиме.</w:t>
      </w:r>
    </w:p>
    <w:p>
      <w:pPr>
        <w:pStyle w:val="0"/>
        <w:jc w:val="both"/>
      </w:pPr>
      <w:r>
        <w:rPr>
          <w:sz w:val="24"/>
        </w:rPr>
        <w:t xml:space="preserve">(в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Учетный номер наносится на сетные орудия, сведения о которых внесены в реестр, владельцем сетного орудия самостоятельно с соблюдением требований </w:t>
      </w:r>
      <w:r>
        <w:rPr>
          <w:sz w:val="24"/>
        </w:rPr>
        <w:t xml:space="preserve">части 4 статьи 9</w:t>
      </w:r>
      <w:r>
        <w:rPr>
          <w:sz w:val="24"/>
        </w:rPr>
        <w:t xml:space="preserve"> Федерального закона "О любительском рыболовстве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13. В случае изменения места жительства (при наличии регистрации) либо места пребывания (при наличии регистрации) владельца сетного орудия, переоборудования (модернизации) сетного орудия владелец сетного орудия обязан представить соответствующую информацию о внесении изменений в его учетные данные путем направления заявления о внесении изменений в его учетные данные в территориальный орган в течение 15 рабочих дней со дня наступления одного из указанных событий.</w:t>
      </w:r>
    </w:p>
    <w:p>
      <w:pPr>
        <w:pStyle w:val="0"/>
        <w:spacing w:before="240" w:line-rule="auto"/>
        <w:ind w:firstLine="540"/>
        <w:jc w:val="both"/>
      </w:pPr>
      <w:r>
        <w:rPr>
          <w:sz w:val="24"/>
        </w:rPr>
        <w:t xml:space="preserve">В случае смены владельца сетного орудия, утраты (утери) сетного орудия, а также в случае утилизации или уничтожения сетного орудия без замены сетного орудия на равнозначное по параметрам в соответствии с </w:t>
      </w:r>
      <w:hyperlink w:history="0" w:anchor="P96" w:tooltip="В случае утилизации или уничтожения сетного орудия в связи с существенным износом сетного орудия (потери им своих свойств под воздействием природных факторов) владелец сетного орудия имеет право заменить сетное орудие на равнозначное по параметрам, которые первоначально внесены в реестр, и использовать его без направления заявления о внесении изменений в его учетные данные или заявления об аннулировании учетного номера в реестре в территориальный орган. При этом потерявшее свои свойства сетное орудие не ...">
        <w:r>
          <w:rPr>
            <w:sz w:val="24"/>
            <w:color w:val="0000ff"/>
          </w:rPr>
          <w:t xml:space="preserve">абзацем третьим</w:t>
        </w:r>
      </w:hyperlink>
      <w:r>
        <w:rPr>
          <w:sz w:val="24"/>
        </w:rPr>
        <w:t xml:space="preserve"> настоящего пункта прежний владелец сетного орудия обязан представить соответствующую информацию об аннулировании учетного номера в реестре путем направления заявления об аннулировании учетного номера в реестре в территориальный орган в течение 15 рабочих дней со дня наступления одного из указанных событий.</w:t>
      </w:r>
    </w:p>
    <w:bookmarkStart w:id="96" w:name="P96"/>
    <w:bookmarkEnd w:id="96"/>
    <w:p>
      <w:pPr>
        <w:pStyle w:val="0"/>
        <w:spacing w:before="240" w:line-rule="auto"/>
        <w:ind w:firstLine="540"/>
        <w:jc w:val="both"/>
      </w:pPr>
      <w:r>
        <w:rPr>
          <w:sz w:val="24"/>
        </w:rPr>
        <w:t xml:space="preserve">В случае утилизации или уничтожения сетного орудия в связи с существенным износом сетного орудия (потери им своих свойств под воздействием природных факторов) владелец сетного орудия имеет право заменить сетное орудие на равнозначное по параметрам, которые первоначально внесены в реестр, и использовать его без направления заявления о внесении изменений в его учетные данные или заявления об аннулировании учетного номера в реестре в территориальный орган. При этом потерявшее свои свойства сетное орудие не может применяться в целях осуществления любительского рыболовства.</w:t>
      </w:r>
    </w:p>
    <w:p>
      <w:pPr>
        <w:pStyle w:val="0"/>
        <w:spacing w:before="240" w:line-rule="auto"/>
        <w:ind w:firstLine="540"/>
        <w:jc w:val="both"/>
      </w:pPr>
      <w:r>
        <w:rPr>
          <w:sz w:val="24"/>
        </w:rPr>
        <w:t xml:space="preserve">14. В случае установления ограничений любительского рыболовства, которые запрещают использование сетных орудий на указанных в заявлении о внесении сведений в реестр водных объектах или изменяют характеристики разрешенных для применения сетных орудий, владелец сетного орудия вправе обратиться в территориальный орган с заявлением о внесении изменений в его учетные данные в части изменения водных объектов, на которых владелец сетного орудия планирует осуществлять любительское рыболовство с применением сетных орудий, или с заявлением об аннулировании учетного номера в реестре.</w:t>
      </w:r>
    </w:p>
    <w:p>
      <w:pPr>
        <w:pStyle w:val="0"/>
        <w:spacing w:before="240" w:line-rule="auto"/>
        <w:ind w:firstLine="540"/>
        <w:jc w:val="both"/>
      </w:pPr>
      <w:r>
        <w:rPr>
          <w:sz w:val="24"/>
        </w:rPr>
        <w:t xml:space="preserve">15. Заявление о внесении изменений в учетные данные и заявление об аннулировании учетного номера в реестре составляются в письменной форме на бумажном носителе или в форме электронного документа.</w:t>
      </w:r>
    </w:p>
    <w:p>
      <w:pPr>
        <w:pStyle w:val="0"/>
        <w:spacing w:before="240" w:line-rule="auto"/>
        <w:ind w:firstLine="540"/>
        <w:jc w:val="both"/>
      </w:pPr>
      <w:r>
        <w:rPr>
          <w:sz w:val="24"/>
        </w:rPr>
        <w:t xml:space="preserve">16. Заявление о внесении изменений в учетные данные и заявление об аннулировании учетного номера в реестре, подписанные в соответствии с требованиями </w:t>
      </w:r>
      <w:hyperlink w:history="0" w:anchor="P50" w:tooltip="4(1). Заявление о внесении сведений в реестр, подаваемое в форме электронного документа посредством единого портала, подписывается:">
        <w:r>
          <w:rPr>
            <w:sz w:val="24"/>
            <w:color w:val="0000ff"/>
          </w:rPr>
          <w:t xml:space="preserve">пункта 4(1)</w:t>
        </w:r>
      </w:hyperlink>
      <w:r>
        <w:rPr>
          <w:sz w:val="24"/>
        </w:rPr>
        <w:t xml:space="preserve"> настоящих Правил, подаются владельцем сетного орудия, имеющего учетный номер, в территориальный орган или в многофункциональный центр предоставления государственных и муниципальных услуг лично или в форме электронного документа с использованием информационно-телекоммуникационных технологий, в том числе посредством единого портала и (или) региональных порталов.</w:t>
      </w:r>
    </w:p>
    <w:p>
      <w:pPr>
        <w:pStyle w:val="0"/>
        <w:jc w:val="both"/>
      </w:pPr>
      <w:r>
        <w:rPr>
          <w:sz w:val="24"/>
        </w:rPr>
        <w:t xml:space="preserve">(п. 16 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17. В заявлении о внесении изменений в учетные данные указывается следующая информация:</w:t>
      </w:r>
    </w:p>
    <w:p>
      <w:pPr>
        <w:pStyle w:val="0"/>
        <w:spacing w:before="240" w:line-rule="auto"/>
        <w:ind w:firstLine="540"/>
        <w:jc w:val="both"/>
      </w:pPr>
      <w:r>
        <w:rPr>
          <w:sz w:val="24"/>
        </w:rPr>
        <w:t xml:space="preserve">а) наименование территориального органа, в который подается заявление о внесении изменений в учетные данные;</w:t>
      </w:r>
    </w:p>
    <w:p>
      <w:pPr>
        <w:pStyle w:val="0"/>
        <w:spacing w:before="240" w:line-rule="auto"/>
        <w:ind w:firstLine="540"/>
        <w:jc w:val="both"/>
      </w:pPr>
      <w:r>
        <w:rPr>
          <w:sz w:val="24"/>
        </w:rPr>
        <w:t xml:space="preserve">б) фамилия, имя, отчество (при наличии)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в) учетный номер сетного орудия, в отношении которого требуется изменение данных;</w:t>
      </w:r>
    </w:p>
    <w:p>
      <w:pPr>
        <w:pStyle w:val="0"/>
        <w:spacing w:before="240" w:line-rule="auto"/>
        <w:ind w:firstLine="540"/>
        <w:jc w:val="both"/>
      </w:pPr>
      <w:r>
        <w:rPr>
          <w:sz w:val="24"/>
        </w:rPr>
        <w:t xml:space="preserve">г) адрес места жительства (места пребывания) или места нахождения владельца сетного орудия;</w:t>
      </w:r>
    </w:p>
    <w:p>
      <w:pPr>
        <w:pStyle w:val="0"/>
        <w:spacing w:before="240" w:line-rule="auto"/>
        <w:ind w:firstLine="540"/>
        <w:jc w:val="both"/>
      </w:pPr>
      <w:r>
        <w:rPr>
          <w:sz w:val="24"/>
        </w:rPr>
        <w:t xml:space="preserve">д) номер контактного телефона и (или) адрес электронной почты (при их наличии) владельца сетного орудия;</w:t>
      </w:r>
    </w:p>
    <w:p>
      <w:pPr>
        <w:pStyle w:val="0"/>
        <w:spacing w:before="240" w:line-rule="auto"/>
        <w:ind w:firstLine="540"/>
        <w:jc w:val="both"/>
      </w:pPr>
      <w:r>
        <w:rPr>
          <w:sz w:val="24"/>
        </w:rPr>
        <w:t xml:space="preserve">е) данные, подлежащие замене;</w:t>
      </w:r>
    </w:p>
    <w:p>
      <w:pPr>
        <w:pStyle w:val="0"/>
        <w:spacing w:before="240" w:line-rule="auto"/>
        <w:ind w:firstLine="540"/>
        <w:jc w:val="both"/>
      </w:pPr>
      <w:r>
        <w:rPr>
          <w:sz w:val="24"/>
        </w:rPr>
        <w:t xml:space="preserve">ж) новые данные, подлежащие включению в реестр.</w:t>
      </w:r>
    </w:p>
    <w:p>
      <w:pPr>
        <w:pStyle w:val="0"/>
        <w:spacing w:before="240" w:line-rule="auto"/>
        <w:ind w:firstLine="540"/>
        <w:jc w:val="both"/>
      </w:pPr>
      <w:r>
        <w:rPr>
          <w:sz w:val="24"/>
        </w:rPr>
        <w:t xml:space="preserve">18. Территориальный орган в течение 2 рабочих дней со дня регистрации заявления о внесении изменений в учетные данные рассматривает его, принимает решение о внесении изменений в сведения, содержащиеся в реестре, или об отказе во внесении изменений в сведения, содержащиеся в реестре.</w:t>
      </w:r>
    </w:p>
    <w:p>
      <w:pPr>
        <w:pStyle w:val="0"/>
        <w:spacing w:before="240" w:line-rule="auto"/>
        <w:ind w:firstLine="540"/>
        <w:jc w:val="both"/>
      </w:pPr>
      <w:r>
        <w:rPr>
          <w:sz w:val="24"/>
        </w:rPr>
        <w:t xml:space="preserve">Соответствующие изменения в реестр вносятся территориальным органом в течение одного рабочего дня после дня принятия решения о внесении изменений в сведения, содержащиеся в реестре.</w:t>
      </w:r>
    </w:p>
    <w:p>
      <w:pPr>
        <w:pStyle w:val="0"/>
        <w:spacing w:before="240" w:line-rule="auto"/>
        <w:ind w:firstLine="540"/>
        <w:jc w:val="both"/>
      </w:pPr>
      <w:r>
        <w:rPr>
          <w:sz w:val="24"/>
        </w:rPr>
        <w:t xml:space="preserve">В день внесения изменений в сведения, содержащиеся в реестре, либо в день принятия решения об отказе во внесении изменений в сведения, содержащиеся в реестре, территориальный орган направляет соответственно уведомление о внесенных изменениях в сведения, содержащиеся в реестре, либо уведомление об отказе во внесении изменений в сведения, содержащиеся в реестре, владельцу сетного орудия в письменной форме по адресу места жительства (места пребывания) или места нахождения, указанному в заявлении о внесении изменений в учетные данные, либо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 При подаче заявления о внесении изменений в учетные данные в форме электронного документа посредством единого портала соответствующее уведомление направляется в автоматическом режиме.</w:t>
      </w:r>
    </w:p>
    <w:p>
      <w:pPr>
        <w:pStyle w:val="0"/>
        <w:jc w:val="both"/>
      </w:pPr>
      <w:r>
        <w:rPr>
          <w:sz w:val="24"/>
        </w:rPr>
        <w:t xml:space="preserve">(п. 18 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19. В заявлении об аннулировании учетного номера в реестре указывается:</w:t>
      </w:r>
    </w:p>
    <w:p>
      <w:pPr>
        <w:pStyle w:val="0"/>
        <w:spacing w:before="240" w:line-rule="auto"/>
        <w:ind w:firstLine="540"/>
        <w:jc w:val="both"/>
      </w:pPr>
      <w:r>
        <w:rPr>
          <w:sz w:val="24"/>
        </w:rPr>
        <w:t xml:space="preserve">а) наименование территориального органа, в который подается заявление об аннулировании учетного номера в реестре;</w:t>
      </w:r>
    </w:p>
    <w:p>
      <w:pPr>
        <w:pStyle w:val="0"/>
        <w:spacing w:before="240" w:line-rule="auto"/>
        <w:ind w:firstLine="540"/>
        <w:jc w:val="both"/>
      </w:pPr>
      <w:r>
        <w:rPr>
          <w:sz w:val="24"/>
        </w:rPr>
        <w:t xml:space="preserve">б) фамилия, имя, отчество (при наличии)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в) учетный номер сетного орудия, учет которого аннулируется;</w:t>
      </w:r>
    </w:p>
    <w:p>
      <w:pPr>
        <w:pStyle w:val="0"/>
        <w:spacing w:before="240" w:line-rule="auto"/>
        <w:ind w:firstLine="540"/>
        <w:jc w:val="both"/>
      </w:pPr>
      <w:r>
        <w:rPr>
          <w:sz w:val="24"/>
        </w:rPr>
        <w:t xml:space="preserve">г) адрес места жительства (места пребывания) владельца сетного орудия;</w:t>
      </w:r>
    </w:p>
    <w:p>
      <w:pPr>
        <w:pStyle w:val="0"/>
        <w:spacing w:before="240" w:line-rule="auto"/>
        <w:ind w:firstLine="540"/>
        <w:jc w:val="both"/>
      </w:pPr>
      <w:r>
        <w:rPr>
          <w:sz w:val="24"/>
        </w:rPr>
        <w:t xml:space="preserve">д) номер контактного телефона и (или) адрес электронной почты (при их наличии) владельца сетного орудия;</w:t>
      </w:r>
    </w:p>
    <w:p>
      <w:pPr>
        <w:pStyle w:val="0"/>
        <w:spacing w:before="240" w:line-rule="auto"/>
        <w:ind w:firstLine="540"/>
        <w:jc w:val="both"/>
      </w:pPr>
      <w:r>
        <w:rPr>
          <w:sz w:val="24"/>
        </w:rPr>
        <w:t xml:space="preserve">е) причины аннулирования учетного номера.</w:t>
      </w:r>
    </w:p>
    <w:p>
      <w:pPr>
        <w:pStyle w:val="0"/>
        <w:spacing w:before="240" w:line-rule="auto"/>
        <w:ind w:firstLine="540"/>
        <w:jc w:val="both"/>
      </w:pPr>
      <w:r>
        <w:rPr>
          <w:sz w:val="24"/>
        </w:rPr>
        <w:t xml:space="preserve">20. Учетный номер аннулируется на основании:</w:t>
      </w:r>
    </w:p>
    <w:p>
      <w:pPr>
        <w:pStyle w:val="0"/>
        <w:spacing w:before="240" w:line-rule="auto"/>
        <w:ind w:firstLine="540"/>
        <w:jc w:val="both"/>
      </w:pPr>
      <w:r>
        <w:rPr>
          <w:sz w:val="24"/>
        </w:rPr>
        <w:t xml:space="preserve">а) заявления об аннулировании учетного номера в реестре;</w:t>
      </w:r>
    </w:p>
    <w:p>
      <w:pPr>
        <w:pStyle w:val="0"/>
        <w:spacing w:before="240" w:line-rule="auto"/>
        <w:ind w:firstLine="540"/>
        <w:jc w:val="both"/>
      </w:pPr>
      <w:r>
        <w:rPr>
          <w:sz w:val="24"/>
        </w:rPr>
        <w:t xml:space="preserve">б) решения суда о конфискации сетного орудия;</w:t>
      </w:r>
    </w:p>
    <w:p>
      <w:pPr>
        <w:pStyle w:val="0"/>
        <w:spacing w:before="240" w:line-rule="auto"/>
        <w:ind w:firstLine="540"/>
        <w:jc w:val="both"/>
      </w:pPr>
      <w:r>
        <w:rPr>
          <w:sz w:val="24"/>
        </w:rPr>
        <w:t xml:space="preserve">в) несоответствия сведений, содержащихся в документах, удостоверяющих личность владельца сетного орудия (для физических лиц), и сведений, указанных в </w:t>
      </w:r>
      <w:hyperlink w:history="0" w:anchor="P55" w:tooltip="5. В заявлении о внесении сведений в реестр указываются:">
        <w:r>
          <w:rPr>
            <w:sz w:val="24"/>
            <w:color w:val="0000ff"/>
          </w:rPr>
          <w:t xml:space="preserve">пункте 5</w:t>
        </w:r>
      </w:hyperlink>
      <w:r>
        <w:rPr>
          <w:sz w:val="24"/>
        </w:rPr>
        <w:t xml:space="preserve"> настоящих Правил, выявляемого уполномоченными должностными лицами при проведении мероприятий по осуществлению федерального государственного контроля (надзора) в области рыболовства и сохранения водных биологических ресурсов.</w:t>
      </w:r>
    </w:p>
    <w:p>
      <w:pPr>
        <w:pStyle w:val="0"/>
        <w:spacing w:before="240" w:line-rule="auto"/>
        <w:ind w:firstLine="540"/>
        <w:jc w:val="both"/>
      </w:pPr>
      <w:r>
        <w:rPr>
          <w:sz w:val="24"/>
        </w:rPr>
        <w:t xml:space="preserve">21. Территориальный орган в течение одного рабочего дня со дня регистрации заявления об аннулировании учетного номера в реестре рассматривает указанное заявление, принимает решение об аннулировании учетного номера в реестре.</w:t>
      </w:r>
    </w:p>
    <w:p>
      <w:pPr>
        <w:pStyle w:val="0"/>
        <w:spacing w:before="240" w:line-rule="auto"/>
        <w:ind w:firstLine="540"/>
        <w:jc w:val="both"/>
      </w:pPr>
      <w:r>
        <w:rPr>
          <w:sz w:val="24"/>
        </w:rPr>
        <w:t xml:space="preserve">Соответствующая запись с указанием обстоятельства, послужившего основанием аннулирования учетного номера, вносится в реестр территориальным органом в течение одного рабочего дня со дня принятия решения об аннулировании учетного номера в реестре.</w:t>
      </w:r>
    </w:p>
    <w:p>
      <w:pPr>
        <w:pStyle w:val="0"/>
        <w:jc w:val="both"/>
      </w:pPr>
      <w:r>
        <w:rPr>
          <w:sz w:val="24"/>
        </w:rPr>
        <w:t xml:space="preserve">(п. 21 в ред. </w:t>
      </w:r>
      <w:r>
        <w:rPr>
          <w:sz w:val="24"/>
        </w:rPr>
        <w:t xml:space="preserve">Постановления</w:t>
      </w:r>
      <w:r>
        <w:rPr>
          <w:sz w:val="24"/>
        </w:rPr>
        <w:t xml:space="preserve"> Правительства РФ от 19.02.2026 N 160)</w:t>
      </w:r>
    </w:p>
    <w:p>
      <w:pPr>
        <w:pStyle w:val="0"/>
        <w:spacing w:before="240" w:line-rule="auto"/>
        <w:ind w:firstLine="540"/>
        <w:jc w:val="both"/>
      </w:pPr>
      <w:r>
        <w:rPr>
          <w:sz w:val="24"/>
        </w:rPr>
        <w:t xml:space="preserve">22. В день внесения записи в реестр об аннулировании учетного номера территориальный орган направляет владельцу сетного орудия уведомление об аннулировании учетного номера в реестре в письменной форме по адресу места жительства (места пребывания) или места нахождения, указанному в заявлении об аннулировании учетного номера в реестре, либо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 При подаче заявления об аннулировании учетного номера в реестре в форме электронного документа посредством единого портала указанное уведомление направляется в автоматическом режиме.</w:t>
      </w:r>
    </w:p>
    <w:p>
      <w:pPr>
        <w:pStyle w:val="0"/>
        <w:jc w:val="both"/>
      </w:pPr>
      <w:r>
        <w:rPr>
          <w:sz w:val="24"/>
        </w:rPr>
        <w:t xml:space="preserve">(п. 22 в ред. </w:t>
      </w:r>
      <w:r>
        <w:rPr>
          <w:sz w:val="24"/>
        </w:rPr>
        <w:t xml:space="preserve">Постановления</w:t>
      </w:r>
      <w:r>
        <w:rPr>
          <w:sz w:val="24"/>
        </w:rPr>
        <w:t xml:space="preserve"> Правительства РФ от 19.02.2026 N 160)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21 ноября 2019 г. N 1482</w:t>
      </w:r>
    </w:p>
    <w:p>
      <w:pPr>
        <w:pStyle w:val="0"/>
        <w:jc w:val="both"/>
      </w:pPr>
      <w:r>
        <w:rPr>
          <w:sz w:val="24"/>
        </w:rPr>
      </w:r>
    </w:p>
    <w:bookmarkStart w:id="139" w:name="P139"/>
    <w:bookmarkEnd w:id="139"/>
    <w:p>
      <w:pPr>
        <w:pStyle w:val="2"/>
        <w:jc w:val="center"/>
      </w:pPr>
      <w:r>
        <w:rPr>
          <w:sz w:val="24"/>
        </w:rPr>
        <w:t xml:space="preserve">ПРАВИЛА</w:t>
      </w:r>
    </w:p>
    <w:p>
      <w:pPr>
        <w:pStyle w:val="2"/>
        <w:jc w:val="center"/>
      </w:pPr>
      <w:r>
        <w:rPr>
          <w:sz w:val="24"/>
        </w:rPr>
        <w:t xml:space="preserve">ОБЯЗАТЕЛЬНОЙ ПОШТУЧНОЙ МАРКИРОВКИ СЕТНЫХ ОРУДИЙ ДОБЫЧИ</w:t>
      </w:r>
    </w:p>
    <w:p>
      <w:pPr>
        <w:pStyle w:val="2"/>
        <w:jc w:val="center"/>
      </w:pPr>
      <w:r>
        <w:rPr>
          <w:sz w:val="24"/>
        </w:rPr>
        <w:t xml:space="preserve">(ВЫЛОВА) ВОДНЫХ БИОЛОГИЧЕСКИХ РЕСУРСОВ</w:t>
      </w:r>
    </w:p>
    <w:p>
      <w:pPr>
        <w:pStyle w:val="0"/>
        <w:jc w:val="both"/>
      </w:pPr>
      <w:r>
        <w:rPr>
          <w:sz w:val="24"/>
        </w:rPr>
      </w:r>
    </w:p>
    <w:p>
      <w:pPr>
        <w:pStyle w:val="0"/>
        <w:ind w:firstLine="540"/>
        <w:jc w:val="both"/>
      </w:pPr>
      <w:r>
        <w:rPr>
          <w:sz w:val="24"/>
        </w:rPr>
        <w:t xml:space="preserve">1. Настоящие Правила устанавливают порядок обязательной поштучной маркировки сетных орудий добычи (вылова) водных биологических ресурсов (далее - сетные орудия) и требования к указанной маркировке.</w:t>
      </w:r>
    </w:p>
    <w:bookmarkStart w:id="144" w:name="P144"/>
    <w:bookmarkEnd w:id="144"/>
    <w:p>
      <w:pPr>
        <w:pStyle w:val="0"/>
        <w:spacing w:before="240" w:line-rule="auto"/>
        <w:ind w:firstLine="540"/>
        <w:jc w:val="both"/>
      </w:pPr>
      <w:r>
        <w:rPr>
          <w:sz w:val="24"/>
        </w:rPr>
        <w:t xml:space="preserve">2. Обязательная поштучная маркировка сетных орудий осуществляется владельцами сетных орудий после их учета в соответствии с </w:t>
      </w:r>
      <w:hyperlink w:history="0" w:anchor="P36" w:tooltip="ПРАВИЛА">
        <w:r>
          <w:rPr>
            <w:sz w:val="24"/>
            <w:color w:val="0000ff"/>
          </w:rPr>
          <w:t xml:space="preserve">Правилами</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утвержденными постановлением Правительства Российской Федерации от 21 ноября 2019 г. N 1482.</w:t>
      </w:r>
    </w:p>
    <w:bookmarkStart w:id="145" w:name="P145"/>
    <w:bookmarkEnd w:id="145"/>
    <w:p>
      <w:pPr>
        <w:pStyle w:val="0"/>
        <w:spacing w:before="240" w:line-rule="auto"/>
        <w:ind w:firstLine="540"/>
        <w:jc w:val="both"/>
      </w:pPr>
      <w:r>
        <w:rPr>
          <w:sz w:val="24"/>
        </w:rPr>
        <w:t xml:space="preserve">3. В целях осуществления обязательной поштучной маркировки сетных орудий владельцы сетных орудий самостоятельно изготавливают или приобретают маркировочные знаки.</w:t>
      </w:r>
    </w:p>
    <w:p>
      <w:pPr>
        <w:pStyle w:val="0"/>
        <w:spacing w:before="240" w:line-rule="auto"/>
        <w:ind w:firstLine="540"/>
        <w:jc w:val="both"/>
      </w:pPr>
      <w:r>
        <w:rPr>
          <w:sz w:val="24"/>
        </w:rPr>
        <w:t xml:space="preserve">4. Маркировочный знак представляет собой изделие прямоугольной формы из любого материала размером не менее 15 сантиметров на 10 сантиметров, на котором размещается следующая информация:</w:t>
      </w:r>
    </w:p>
    <w:p>
      <w:pPr>
        <w:pStyle w:val="0"/>
        <w:spacing w:before="240" w:line-rule="auto"/>
        <w:ind w:firstLine="540"/>
        <w:jc w:val="both"/>
      </w:pPr>
      <w:r>
        <w:rPr>
          <w:sz w:val="24"/>
        </w:rPr>
        <w:t xml:space="preserve">а) фамилия, имя и отчество (если имеется)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б) характеристики сетного орудия, в том числе:</w:t>
      </w:r>
    </w:p>
    <w:p>
      <w:pPr>
        <w:pStyle w:val="0"/>
        <w:spacing w:before="240" w:line-rule="auto"/>
        <w:ind w:firstLine="540"/>
        <w:jc w:val="both"/>
      </w:pPr>
      <w:r>
        <w:rPr>
          <w:sz w:val="24"/>
        </w:rPr>
        <w:t xml:space="preserve">для жаберных сетей, неводов всех типов, бредней - длина, высота, размер (шаг) ячеи;</w:t>
      </w:r>
    </w:p>
    <w:p>
      <w:pPr>
        <w:pStyle w:val="0"/>
        <w:spacing w:before="240" w:line-rule="auto"/>
        <w:ind w:firstLine="540"/>
        <w:jc w:val="both"/>
      </w:pPr>
      <w:r>
        <w:rPr>
          <w:sz w:val="24"/>
        </w:rPr>
        <w:t xml:space="preserve">для сетных ловушек любых типов и прочих сетных орудий лова - сведения об основных конструктивных характеристиках в снаряженном (расправленном) виде (длина, высота, ширина, размер (шаг) ячеи), в том числе характеристики, предусмотренные для сетных ловушек правилами рыболовства;</w:t>
      </w:r>
    </w:p>
    <w:p>
      <w:pPr>
        <w:pStyle w:val="0"/>
        <w:spacing w:before="240" w:line-rule="auto"/>
        <w:ind w:firstLine="540"/>
        <w:jc w:val="both"/>
      </w:pPr>
      <w:r>
        <w:rPr>
          <w:sz w:val="24"/>
        </w:rPr>
        <w:t xml:space="preserve">в) учетный номер сетного орудия, присвоенный в соответствии с </w:t>
      </w:r>
      <w:hyperlink w:history="0" w:anchor="P36" w:tooltip="ПРАВИЛА">
        <w:r>
          <w:rPr>
            <w:sz w:val="24"/>
            <w:color w:val="0000ff"/>
          </w:rPr>
          <w:t xml:space="preserve">Правилами</w:t>
        </w:r>
      </w:hyperlink>
      <w:r>
        <w:rPr>
          <w:sz w:val="24"/>
        </w:rPr>
        <w:t xml:space="preserve">, указанными в </w:t>
      </w:r>
      <w:hyperlink w:history="0" w:anchor="P144" w:tooltip="2. Обязательная поштучная маркировка сетных орудий осуществляется владельцами сетных орудий после их учета в соответствии с Правилами учета сетных орудий добычи (вылова) водных биологических ресурсов и ведения реестра сетных орудий добычи (вылова) водных биологических ресурсов, утвержденными постановлением Правительства Российской Федерации от 21 ноября 2019 г. N 1482.">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Маркировочный знак должен быть закреплен на сетном орудии любым доступным способом, обеспечивающим его сохранность при использовании орудия добычи (вылова), и расположен в доступном для визуального осмотра месте:</w:t>
      </w:r>
    </w:p>
    <w:p>
      <w:pPr>
        <w:pStyle w:val="0"/>
        <w:spacing w:before="240" w:line-rule="auto"/>
        <w:ind w:firstLine="540"/>
        <w:jc w:val="both"/>
      </w:pPr>
      <w:r>
        <w:rPr>
          <w:sz w:val="24"/>
        </w:rPr>
        <w:t xml:space="preserve">для жаберных сетей, неводов всех типов, бредней - на верхней подборе;</w:t>
      </w:r>
    </w:p>
    <w:p>
      <w:pPr>
        <w:pStyle w:val="0"/>
        <w:spacing w:before="240" w:line-rule="auto"/>
        <w:ind w:firstLine="540"/>
        <w:jc w:val="both"/>
      </w:pPr>
      <w:r>
        <w:rPr>
          <w:sz w:val="24"/>
        </w:rPr>
        <w:t xml:space="preserve">для сетных ловушек всех типов и прочих сетных орудий лова - на кольце или распорной раме в месте, имеющем максимальный диаметр (размер).</w:t>
      </w:r>
    </w:p>
    <w:p>
      <w:pPr>
        <w:pStyle w:val="0"/>
        <w:spacing w:before="240" w:line-rule="auto"/>
        <w:ind w:firstLine="540"/>
        <w:jc w:val="both"/>
      </w:pPr>
      <w:r>
        <w:rPr>
          <w:sz w:val="24"/>
        </w:rPr>
        <w:t xml:space="preserve">6. Информация, указанная в </w:t>
      </w:r>
      <w:hyperlink w:history="0" w:anchor="P145" w:tooltip="3. В целях осуществления обязательной поштучной маркировки сетных орудий владельцы сетных орудий самостоятельно изготавливают или приобретают маркировочные знаки.">
        <w:r>
          <w:rPr>
            <w:sz w:val="24"/>
            <w:color w:val="0000ff"/>
          </w:rPr>
          <w:t xml:space="preserve">пункте 3</w:t>
        </w:r>
      </w:hyperlink>
      <w:r>
        <w:rPr>
          <w:sz w:val="24"/>
        </w:rPr>
        <w:t xml:space="preserve"> настоящих Правил, наносится на маркировочный знак любым доступным способом, обеспечивающим ее сохранность при применении орудия добычи (вылова) (методом выжигания или штамповки несмываемой краской темного цвета, написания текста водозащитными маркерами темного цвета или другим способом).</w:t>
      </w:r>
    </w:p>
    <w:p>
      <w:pPr>
        <w:pStyle w:val="0"/>
        <w:spacing w:before="240" w:line-rule="auto"/>
        <w:ind w:firstLine="540"/>
        <w:jc w:val="both"/>
      </w:pPr>
      <w:r>
        <w:rPr>
          <w:sz w:val="24"/>
        </w:rPr>
        <w:t xml:space="preserve">Информация на маркировочных знаках должна быть разборчивой и доступной для визуального осмотра без применения вспомогательных средств, при этом при условии сохранения ее читаемости допускается использование маркировочных знаков до полного их износа без повторного нанесения на них информации.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21.11.2019 N 1482</w:t>
            <w:br/>
            <w:t>(ред. от 19.02.2026)</w:t>
            <w:br/>
            <w:t>"Об утверждении Правил учета сетных орудий добы...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21.11.2019 N 1482
(ред. от 19.02.2026)
"Об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dc:title>
  <dcterms:created xsi:type="dcterms:W3CDTF">2026-04-09T06:37:37Z</dcterms:created>
</cp:coreProperties>
</file>